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младшей группы «Социально-коммуникативное развитие»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 Социальные отношения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себе, может назвать свои имя и возраст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отличить детей друг от друга по внешности, предпочтениям, достижениям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знает и может назвать членов своей семьи и своих ближайших родственников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элементарными правилами культуры поведения, умеет быть вежливым по отношению к близким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1.5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понимать ярко выраженные эмоциональные состояния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1.6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 эмоциях и чувствах людей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1.7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вступать в контакт, вежливо общаться, участвовать в совместных играх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 Формирование основ гражданственности и патриотизма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малой родине, красоте родной природы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 Трудовое воспитание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предметах, орудиях труда и их назначении, свойствах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знаниями о содержании хозяйственно-бытового труда взрослых, трудовых действиях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 Формирование основ безопасного поведения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 правилах поведения в природе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способах взаимодействия с животными и растениями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навыками безопасного обращения с бытовыми приборами и предметами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элементарными представлениями о правилах поведения на детской площадке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42–31 балл 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30–15 баллов 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14 и ниже баллов –низкий уровень.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df1173c81ae49b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